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852E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852E3" w:rsidRDefault="0077192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852E3" w:rsidRDefault="00771928">
            <w:pPr>
              <w:spacing w:after="0" w:line="240" w:lineRule="auto"/>
            </w:pPr>
            <w:r>
              <w:t>14550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852E3" w:rsidRDefault="0077192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852E3" w:rsidRDefault="00771928">
            <w:pPr>
              <w:spacing w:after="0" w:line="240" w:lineRule="auto"/>
            </w:pPr>
            <w:r>
              <w:t>OSNOVNA ŠKOLA BREZOVICA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852E3" w:rsidRDefault="0077192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852E3" w:rsidRDefault="00771928">
            <w:pPr>
              <w:spacing w:after="0" w:line="240" w:lineRule="auto"/>
            </w:pPr>
            <w:r>
              <w:t>31</w:t>
            </w:r>
          </w:p>
        </w:tc>
      </w:tr>
    </w:tbl>
    <w:p w:rsidR="007852E3" w:rsidRDefault="00771928">
      <w:r>
        <w:br/>
      </w:r>
    </w:p>
    <w:p w:rsidR="007852E3" w:rsidRDefault="0077192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852E3" w:rsidRDefault="0077192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852E3" w:rsidRDefault="0077192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3.551.280,06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3.898.673,39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3.435.111,65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4.090.138,16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852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191.464,77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96.510,54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114.130,31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852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96.510,54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111.140,31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115,2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852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852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302.605,08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 U razdoblju 1.1.-31.12.2025. škola je ostvarila prihode poslovanja u iznosu od 3.898.673,39 € a rashode poslovanja u iznosu od  4.090.138,16 €. Prihodi od prodaje nefinancijske imovine iznosili su 2.990,00 € a rashodi 114.130,31€. Primitaka i izdataka od </w:t>
      </w:r>
      <w:r>
        <w:t xml:space="preserve">financijske imovine nije bilo. Slijedom navedenog škola je  ostvarila manjak prihoda poslovanja u iznosu od 191.464,77 €. Radi se o metodološkom manjku zbog primjene Pravilnika  kada se radi o </w:t>
      </w:r>
      <w:proofErr w:type="spellStart"/>
      <w:r>
        <w:t>o</w:t>
      </w:r>
      <w:proofErr w:type="spellEnd"/>
      <w:r>
        <w:t xml:space="preserve"> rashodima za plaće a utjecaj na iznos manjka imala je nabava </w:t>
      </w:r>
      <w:r>
        <w:t xml:space="preserve">radnih  udžbenika  za koje će prihodi tek biti evidentirani u narednom obračunskom razdoblju. Za isto su knjižena </w:t>
      </w:r>
      <w:r>
        <w:lastRenderedPageBreak/>
        <w:t>potraživanja od MZOM. Manjak prihoda od nefinancijske imovine iznosi 111.140,31 € zbog financiranja istih iz prihoda poslovanja te  nabava udž</w:t>
      </w:r>
      <w:r>
        <w:t xml:space="preserve">benika za koje DP nije doznačio sredstva. Za dio </w:t>
      </w:r>
      <w:proofErr w:type="spellStart"/>
      <w:r>
        <w:t>nedoznapčenih</w:t>
      </w:r>
      <w:proofErr w:type="spellEnd"/>
      <w:r>
        <w:t xml:space="preserve"> sredstava za udžbenike knjižena su potraživanja od MZOM. Na kraju izvještajnog razdoblja ukupni manjak prihoda i primitaka iznosi  302.605,08 € </w:t>
      </w:r>
    </w:p>
    <w:p w:rsidR="007852E3" w:rsidRDefault="00771928">
      <w:r>
        <w:br/>
      </w:r>
    </w:p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55.227,17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3,2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Smanjenje prihoda iz razloga što na ŽR škole do 31.12.2025.  nije izvršena uplata iz DP za nabavljene udžbenike.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56.188,17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77.070,67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Povećanje je uslijedilo zbog povećanog broja pomoćnika u nastavi u odnosu na isto razdoblje prošle godine, povećanje vrijednosti sata rada te rad PUN za vrijeme mjeseca srpnja i kolovoza što prethodne godine nije bilo.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59.654,67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86.882,30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Uplate učenika za </w:t>
      </w:r>
      <w:proofErr w:type="spellStart"/>
      <w:r>
        <w:t>stem</w:t>
      </w:r>
      <w:proofErr w:type="spellEnd"/>
      <w:r>
        <w:t xml:space="preserve"> radionice, za  fotografiranje  te povećane uplate za PB zbog poveć</w:t>
      </w:r>
      <w:r>
        <w:t>anja učenika korisnika  razlog su povećanja u odnosu na prethodnu godinu. </w:t>
      </w:r>
    </w:p>
    <w:p w:rsidR="007852E3" w:rsidRDefault="00771928">
      <w:r>
        <w:t>Ove godine je u okviru ovog računa knjižen prihod s osnova priznavanja štete na vozilu od os</w:t>
      </w:r>
      <w:r>
        <w:t xml:space="preserve">iguravajućeg društva temeljem sklopljene police </w:t>
      </w:r>
      <w:proofErr w:type="spellStart"/>
      <w:r>
        <w:t>kasko</w:t>
      </w:r>
      <w:proofErr w:type="spellEnd"/>
      <w:r>
        <w:t xml:space="preserve"> osiguranja.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pruženih </w:t>
            </w:r>
            <w:r>
              <w:rPr>
                <w:sz w:val="18"/>
              </w:rPr>
              <w:t>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9.184,43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14.394,89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156,7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Zbog povećanog broja sklopljenih ugovora za najam dvorane u odnosu na prethodnu godinu povećani su i prihodi  knjiženi na ovom računu.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17.357,74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Na ovom računu knjižene su donacije na račun škole od turističkih agencija s namjenom pokrića troškova dnevnica učiteljima pratiteljima na izletima, uplate s namjenom za tekuće održavanje škole, te uplata donacija od Božićnog sajma koja ima namjenu za naba</w:t>
      </w:r>
      <w:r>
        <w:t>vu bine za školske priredbe a koja će se realizirati u 2026. godini. U istom razdoblju prošle godine knjižena je donacija voća od Kauflanda što ove godine nije bilo.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Vrijednost doniranog jednog klima uređaja od strane fizičke osobe.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502.633,15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679.839,97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7852E3" w:rsidRDefault="007852E3">
      <w:pPr>
        <w:spacing w:after="0"/>
      </w:pPr>
    </w:p>
    <w:p w:rsidR="007852E3" w:rsidRDefault="00771928">
      <w:proofErr w:type="spellStart"/>
      <w:r>
        <w:t>Povečane</w:t>
      </w:r>
      <w:proofErr w:type="spellEnd"/>
      <w:r>
        <w:t xml:space="preserve"> su uplate  iz Proračuna Grada za dodatne usluge tekućeg održavanja, zaštitars</w:t>
      </w:r>
      <w:r>
        <w:t>ke usluge i veći iznosi za plaće učitelja u PB i PUN (veći broj učitelja) u odnosu na prošlu godinu. 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24.860,79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37.048,99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149,0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Povećana nabava opreme sredstvima Grada u odnosu na prethodno razdoblje ( nabavljeni interaktivni ekrani za potrebe nastave i garderobni ormarići)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2.260.501,21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2.706.542,25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Povećanje osnovice za plaću , rad PUN tijekom ljetnih mjeseci te primjena novog Pravilnika prema kojem se u rashode razdoblja knjiže i plaće za mjesec prosinac utjecale su na povećanje indeksa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36.610,06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52.417,01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143,2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Povećanje osnovice, povećan broj prekovremenih sati i primjena </w:t>
      </w:r>
      <w:proofErr w:type="spellStart"/>
      <w:r>
        <w:t>Pravilnikao</w:t>
      </w:r>
      <w:proofErr w:type="spellEnd"/>
      <w:r>
        <w:t xml:space="preserve"> knjiženju </w:t>
      </w:r>
      <w:bookmarkStart w:id="0" w:name="_GoBack"/>
      <w:r>
        <w:t xml:space="preserve">rashoda  utjecale su na </w:t>
      </w:r>
      <w:proofErr w:type="spellStart"/>
      <w:r>
        <w:t>povečanje</w:t>
      </w:r>
      <w:proofErr w:type="spellEnd"/>
      <w:r>
        <w:t xml:space="preserve"> ovih rashoda.</w:t>
      </w:r>
    </w:p>
    <w:bookmarkEnd w:id="0"/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1099,0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Iznos knjižen na ovom računu  je isplaćen dvojici domara koji su koristili svoj automobil u službene svrhe za prijevoz hrane u </w:t>
      </w:r>
      <w:proofErr w:type="spellStart"/>
      <w:r>
        <w:t>podrune</w:t>
      </w:r>
      <w:proofErr w:type="spellEnd"/>
      <w:r>
        <w:t xml:space="preserve"> škole i u OŠ Stjepana </w:t>
      </w:r>
      <w:proofErr w:type="spellStart"/>
      <w:r>
        <w:t>Bencekovića</w:t>
      </w:r>
      <w:proofErr w:type="spellEnd"/>
      <w:r>
        <w:t xml:space="preserve"> za vrijeme dok je naše dostavno vozilo bilo na popravku zbog prometne  nezgode. Isplata</w:t>
      </w:r>
      <w:r>
        <w:t xml:space="preserve"> se odnosila za period od 12.5.2025. pa do kraja nastavne godine . Za isplatu su se </w:t>
      </w:r>
      <w:proofErr w:type="spellStart"/>
      <w:r>
        <w:t>primjenili</w:t>
      </w:r>
      <w:proofErr w:type="spellEnd"/>
      <w:r>
        <w:t xml:space="preserve"> propisani neoporeziv iznos   po km.  Trošak je knjižen na teret vlastitih prihoda.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185.128,09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225.764,00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:rsidR="007852E3" w:rsidRDefault="007852E3">
      <w:pPr>
        <w:spacing w:after="0"/>
      </w:pPr>
    </w:p>
    <w:p w:rsidR="007852E3" w:rsidRDefault="00771928">
      <w:proofErr w:type="spellStart"/>
      <w:r>
        <w:t>Povečanje</w:t>
      </w:r>
      <w:proofErr w:type="spellEnd"/>
      <w:r>
        <w:t xml:space="preserve"> broja učenika u PB rezultiralo je i povećanom nabavkom namirnica za školsku prehranu, uvođenje novih namirnica  te utjecaj cijena rezultat  je povećanih  rashoda na ovom računu.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68.719,28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87.683,29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Veći broj nabave  plina i loživog ulja za grijanje utjecao je na porast ovih rashoda.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U tijeku 2025. godine izvršena je nabava radne odjeće i obuće za osoblje kuhinje, spremačice i učitelje TZK što nije </w:t>
      </w:r>
      <w:proofErr w:type="spellStart"/>
      <w:r>
        <w:t>realizrano</w:t>
      </w:r>
      <w:proofErr w:type="spellEnd"/>
      <w:r>
        <w:t xml:space="preserve"> prethodne godine.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32.569,51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91.157,90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279,9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Usluge tekućeg i investicijskog održavanja povećane su zbog izvedenih radova na ugradnji ulaznih vrata u školu, ugradnji sustava </w:t>
      </w:r>
      <w:proofErr w:type="spellStart"/>
      <w:r>
        <w:t>kontrtole</w:t>
      </w:r>
      <w:proofErr w:type="spellEnd"/>
      <w:r>
        <w:t xml:space="preserve"> pristupa u školu, radova na </w:t>
      </w:r>
      <w:proofErr w:type="spellStart"/>
      <w:r>
        <w:t>elekrtičnim</w:t>
      </w:r>
      <w:proofErr w:type="spellEnd"/>
      <w:r>
        <w:t xml:space="preserve"> instalacijama za uvođenje </w:t>
      </w:r>
      <w:proofErr w:type="spellStart"/>
      <w:r>
        <w:t>konvektomata</w:t>
      </w:r>
      <w:proofErr w:type="spellEnd"/>
      <w:r>
        <w:t xml:space="preserve"> u školsku kuhinju, radovi na sanaciji </w:t>
      </w:r>
      <w:r>
        <w:t xml:space="preserve">kvara u kotlovnici PŠ </w:t>
      </w:r>
      <w:proofErr w:type="spellStart"/>
      <w:r>
        <w:t>Kupinečki</w:t>
      </w:r>
      <w:proofErr w:type="spellEnd"/>
      <w:r>
        <w:t xml:space="preserve"> </w:t>
      </w:r>
      <w:proofErr w:type="spellStart"/>
      <w:r>
        <w:t>Kraljevec</w:t>
      </w:r>
      <w:proofErr w:type="spellEnd"/>
      <w:r>
        <w:t xml:space="preserve">, prenamjena i kompletno uređenje prostora hodnika u učionicu također u PŠ KK, preuređenje postojećeg vanjskog prostora škole u spremište za </w:t>
      </w:r>
      <w:r>
        <w:lastRenderedPageBreak/>
        <w:t xml:space="preserve">traktorsku kosilicu i auto prikolicu, preuređenje (pregradnja) 1 učionice </w:t>
      </w:r>
      <w:r>
        <w:t>u centralnoj školi  u Brezovici.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536,8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Knjiženje dva računa za natječaj ravnatelja (zbog ponovljenog postupka) rezultiralo je povećanju iznosa na ovom računu.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149,1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Najam opreme za potrebe nastave (projektora). Rashodi  financirani  iz vlastitih prihoda.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17.803,10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586,2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Razlog </w:t>
      </w:r>
      <w:proofErr w:type="spellStart"/>
      <w:r>
        <w:t>povečanja</w:t>
      </w:r>
      <w:proofErr w:type="spellEnd"/>
      <w:r>
        <w:t xml:space="preserve"> su knjiženi računi za zaštitarske usluge  a koji nisu bili u prethodnoj godini.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296,5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Rashodi na ovom računu  odnose se na plaćeno </w:t>
      </w:r>
      <w:proofErr w:type="spellStart"/>
      <w:r>
        <w:t>kasko</w:t>
      </w:r>
      <w:proofErr w:type="spellEnd"/>
      <w:r>
        <w:t xml:space="preserve"> osiguranje za novo dostavno vozilo  (isto nije bilo prethodne godine) te osiguranje od AO.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12.562,78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215,2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Budući se greškom duži period uplaćivala  naknada za invalide za 1 radnika manje nego što je trebalo,  tijekom godine je  uplaćivana  potrebna razlika.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7.263,61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19.738,77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271,7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Razlog povećanja su knjiženi računi za održane </w:t>
      </w:r>
      <w:proofErr w:type="spellStart"/>
      <w:r>
        <w:t>stem</w:t>
      </w:r>
      <w:proofErr w:type="spellEnd"/>
      <w:r>
        <w:t xml:space="preserve"> radionice, fotografiranje učenika te ulaznice za posjet učenika KD </w:t>
      </w:r>
      <w:proofErr w:type="spellStart"/>
      <w:r>
        <w:t>V.Lisinski</w:t>
      </w:r>
      <w:proofErr w:type="spellEnd"/>
      <w:r>
        <w:t>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Ove godine nije bilo isplata po sudskim presudama kao prošle pa je rashod minimalan.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Nagrada </w:t>
      </w:r>
      <w:proofErr w:type="spellStart"/>
      <w:r>
        <w:t>prof.Baltazar</w:t>
      </w:r>
      <w:proofErr w:type="spellEnd"/>
      <w:r>
        <w:t xml:space="preserve"> za 1 učenika i 1 učitelja.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1584,0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U izvještajnom razdoblju knjiženi su rashodi za plaćene kazne prema Rješenjima Općinskog suda u Novom Zagrebu a zbog nepravilnosti za koje su postupci pokrenuti od strane prosvjetne inspekcije početkom 2024. godine te su plaćene kazne po prekršajnim nalozi</w:t>
      </w:r>
      <w:r>
        <w:t>ma prosvjetne inspekcije. Isti rashodi knjiženi su na teret vlastitih prihoda.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Prihodi ostvareni prodajom rashodovane opreme.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Prihodi ostvareni prodajom rashodovanog dostavnog vozila.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26.659,50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2674,4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Nabava  garderobnih ormarića i interaktivnih ekrane rezultiralo je povećanjem rashoda u odnosu na prethodnu godinu.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Za potrebe </w:t>
      </w:r>
      <w:proofErr w:type="spellStart"/>
      <w:r>
        <w:t>sporstke</w:t>
      </w:r>
      <w:proofErr w:type="spellEnd"/>
      <w:r>
        <w:t xml:space="preserve"> dvorane nabavljena je nova </w:t>
      </w:r>
      <w:proofErr w:type="spellStart"/>
      <w:r>
        <w:t>oporema</w:t>
      </w:r>
      <w:proofErr w:type="spellEnd"/>
      <w:r>
        <w:t xml:space="preserve"> (koševi i golovi).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</w:t>
            </w:r>
            <w:r>
              <w:rPr>
                <w:sz w:val="18"/>
              </w:rPr>
              <w:t>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12.413,15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20.670,49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Nabavljena je oprema i namještaj za potrebe školske kuhinje, za održavanje površina te druga oprema za potrebe nastave. Nabava je bila u većem obimu nego prethodne godine.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Priznata šteta na vozilu po polici </w:t>
      </w:r>
      <w:proofErr w:type="spellStart"/>
      <w:r>
        <w:t>kasko</w:t>
      </w:r>
      <w:proofErr w:type="spellEnd"/>
      <w:r>
        <w:t xml:space="preserve"> osiguranja.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337.849,12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Potraživanja od MZOM za rashode plaća, za povećane troškove prijevoza učenika s teškoćama ,  za prehranu učenika za prosinac 2025.  te potraživanja za sredstva za nabavljene udžbenike 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20.568,21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Dospjele obveze po računima za radne udžbenike.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132.382,37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 xml:space="preserve">Iznos smanjenja </w:t>
      </w:r>
      <w:proofErr w:type="spellStart"/>
      <w:r>
        <w:t>prijazuje</w:t>
      </w:r>
      <w:proofErr w:type="spellEnd"/>
      <w:r>
        <w:t xml:space="preserve"> ispravak vrijednosti  opreme (</w:t>
      </w:r>
      <w:proofErr w:type="spellStart"/>
      <w:r>
        <w:t>obr</w:t>
      </w:r>
      <w:proofErr w:type="spellEnd"/>
      <w:r>
        <w:t>. amortizacija)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100.093,65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61.152,41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61,1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Iznos povećanja odnosi se na vrijednost opreme prenesene iz evidencija Grada sukladno dobivenoj Obavijesti. </w:t>
      </w:r>
    </w:p>
    <w:p w:rsidR="007852E3" w:rsidRDefault="00771928">
      <w:r>
        <w:t>Iznos smanjenja na 91512  odnosi se na vrijednost rashodovane opreme.</w:t>
      </w:r>
    </w:p>
    <w:p w:rsidR="007852E3" w:rsidRDefault="00771928">
      <w:r>
        <w:t> 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8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52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852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25,26' </w:t>
            </w:r>
            <w:r>
              <w:rPr>
                <w:sz w:val="18"/>
              </w:rPr>
              <w:t>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77.481,21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52E3" w:rsidRDefault="007719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52E3" w:rsidRDefault="007852E3">
      <w:pPr>
        <w:spacing w:after="0"/>
      </w:pPr>
    </w:p>
    <w:p w:rsidR="007852E3" w:rsidRDefault="00771928">
      <w:r>
        <w:t>Dospjele obveze po računima za nabavljene radne udžbenike  (</w:t>
      </w:r>
      <w:proofErr w:type="spellStart"/>
      <w:r>
        <w:t>rn</w:t>
      </w:r>
      <w:proofErr w:type="spellEnd"/>
      <w:r>
        <w:t xml:space="preserve"> 23)  i udžbenike knjižene na </w:t>
      </w:r>
      <w:proofErr w:type="spellStart"/>
      <w:r>
        <w:t>rn</w:t>
      </w:r>
      <w:proofErr w:type="spellEnd"/>
      <w:r>
        <w:t xml:space="preserve"> 24 iz razloga što na ŽR škole do 31.12.2025.  nisu doznačena sredstva  iz DP za podmirenje istih.  Dospjele obveze se odnose na izvor prihoda 5.2.1.</w:t>
      </w:r>
    </w:p>
    <w:p w:rsidR="007852E3" w:rsidRDefault="007852E3"/>
    <w:p w:rsidR="007852E3" w:rsidRDefault="00771928">
      <w:pPr>
        <w:keepNext/>
        <w:spacing w:line="240" w:lineRule="auto"/>
        <w:jc w:val="center"/>
      </w:pPr>
      <w:r>
        <w:rPr>
          <w:sz w:val="28"/>
        </w:rPr>
        <w:t>Bilješka 37</w:t>
      </w:r>
      <w:r>
        <w:rPr>
          <w:sz w:val="28"/>
        </w:rPr>
        <w:t>.</w:t>
      </w:r>
    </w:p>
    <w:p w:rsidR="007852E3" w:rsidRDefault="00771928">
      <w:pPr>
        <w:spacing w:line="240" w:lineRule="auto"/>
        <w:jc w:val="both"/>
      </w:pPr>
      <w:r>
        <w:rPr>
          <w:b/>
        </w:rPr>
        <w:t>EU izvještaj</w:t>
      </w:r>
    </w:p>
    <w:p w:rsidR="007852E3" w:rsidRDefault="00771928">
      <w:r>
        <w:t>U EU izvješću  za izvoru 5.6.1  prikazani su prihodi i rashodi za PUN u Projektu.</w:t>
      </w:r>
    </w:p>
    <w:p w:rsidR="007852E3" w:rsidRDefault="00771928">
      <w:r>
        <w:t>Za izvor 5.6.5. prikazani su prihodi i rashodi  za školsku shemu.</w:t>
      </w:r>
    </w:p>
    <w:p w:rsidR="007852E3" w:rsidRDefault="00771928">
      <w:r>
        <w:t>Sva sredstva doznačio nam je Grad Zagreb</w:t>
      </w:r>
    </w:p>
    <w:p w:rsidR="007852E3" w:rsidRDefault="007852E3"/>
    <w:sectPr w:rsidR="0078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2E3"/>
    <w:rsid w:val="00771928"/>
    <w:rsid w:val="007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F205"/>
  <w15:docId w15:val="{8D3D0274-391A-4F22-A2E0-DF8C26FA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1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2</cp:revision>
  <cp:lastPrinted>2026-01-30T08:36:00Z</cp:lastPrinted>
  <dcterms:created xsi:type="dcterms:W3CDTF">2026-01-30T08:32:00Z</dcterms:created>
  <dcterms:modified xsi:type="dcterms:W3CDTF">2026-01-30T08:38:00Z</dcterms:modified>
</cp:coreProperties>
</file>